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rtl w:val="0"/>
        </w:rPr>
        <w:t xml:space="preserve">Aadhar Gupta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/>
      </w:pPr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Delhi NCR, India | 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email</w:t>
        </w:r>
      </w:hyperlink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  |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Linkedin</w:t>
        </w:r>
      </w:hyperlink>
      <w:r w:rsidDel="00000000" w:rsidR="00000000" w:rsidRPr="00000000">
        <w:rPr>
          <w:rFonts w:ascii="Arial" w:cs="Arial" w:eastAsia="Arial" w:hAnsi="Arial"/>
          <w:color w:val="595959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3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Languages: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JavaScript, TypeScript, Python, Java, SQL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000000" w:space="1" w:sz="6" w:val="single"/>
        </w:pBdr>
        <w:spacing w:after="60" w:before="1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10512"/>
        </w:tabs>
        <w:spacing w:after="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Ayasya Digital Solutions — Associate Developer (L1)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Sep 2023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10512"/>
        </w:tabs>
        <w:spacing w:after="2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Full-stack development, infrastructure &amp; DevOpsNew Delhi,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inter-service API latency from 600–800 ms to 120 ms by adopting gRPC for microservice communication.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Cut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monthly infrastructure costs ~80% (₹1L → ₹20K) by migrating workloads to a self-managed VP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and owning the migration and hosting end-to-end.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Reduced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Docker image build times by 30% by introducing multi-stage builds and optimizing image layers.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Mentored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 interns into productive, billable full-time engineers across two teams.</w:t>
      </w:r>
    </w:p>
    <w:p w:rsidR="00000000" w:rsidDel="00000000" w:rsidP="00000000" w:rsidRDefault="00000000" w:rsidRPr="00000000" w14:paraId="0000000B">
      <w:pPr>
        <w:tabs>
          <w:tab w:val="right" w:leader="none" w:pos="10512"/>
        </w:tabs>
        <w:spacing w:after="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Algolia —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 Engineer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Nov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10512"/>
        </w:tabs>
        <w:spacing w:after="2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Contract via Ayasya Digital Solutions · Enterprise search integrationsRemote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Maintained and enhanced TypeScript-based Algolia integration tooling used for enterprise search demos and prospect implementations.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Reduced prospect integration development time from ~1 week to ~2 days before QA by improving reusable scripts, debugging SDK behavior, and standardizing implementation patterns.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Built 3–4 custom e-commerce search integration scripts per week,  capturing search behavior to each client’s catalog, merchandising needs, and business rules.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Debugged undocumented SDK behavior through runtime inspection, API traces, and logs to unblock enterprise integrations.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6" w:val="single"/>
        </w:pBdr>
        <w:spacing w:after="60" w:before="190" w:lineRule="auto"/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SELECTED PROJECTS 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(Most Recent)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10512"/>
        </w:tabs>
        <w:spacing w:after="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Online Therapy Platform —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Next.js · Express · ShadCN · Postgres · Docker · Razorpay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Built an alpha-stage therapy platform where customers onboard, purchase Razorpay-based subscription sessions, and are matched with therapists from an internal pool.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Implemented a Dockerized deployment workflow using GitHub Actions and Dokploy on a self-managed Contabo environment.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0" w:lineRule="auto"/>
        <w:ind w:left="260" w:hanging="200"/>
      </w:pPr>
      <w:r w:rsidDel="00000000" w:rsidR="00000000" w:rsidRPr="00000000">
        <w:rPr>
          <w:b w:val="1"/>
          <w:bCs w:val="1"/>
          <w:rtl w:val="0"/>
        </w:rPr>
        <w:t xml:space="preserve">Designed core flows for customer onboarding, therapist matching, subscription purchase, and admin-side session management.</w:t>
      </w:r>
    </w:p>
    <w:p w:rsidR="00000000" w:rsidDel="00000000" w:rsidP="00000000" w:rsidRDefault="00000000" w:rsidRPr="00000000" w14:paraId="00000016">
      <w:pPr>
        <w:tabs>
          <w:tab w:val="right" w:leader="none" w:pos="10512"/>
        </w:tabs>
        <w:spacing w:after="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Company Knowledge Base (RAG) — In progress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Python · FastAPI · LangChain · pgvector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Building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RAG pipeline that ingests company data and uses a small language model (SLM) to generate summaries, chunked and stored in a pgvector vector database.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40" w:lineRule="auto"/>
        <w:ind w:left="26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Implementing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RBAC-gated retrieval so responses respect per-user permissions, protecting sensitive company data.</w:t>
      </w:r>
    </w:p>
    <w:p w:rsidR="00000000" w:rsidDel="00000000" w:rsidP="00000000" w:rsidRDefault="00000000" w:rsidRPr="00000000" w14:paraId="00000019">
      <w:pPr>
        <w:pBdr>
          <w:bottom w:color="000000" w:space="1" w:sz="6" w:val="single"/>
        </w:pBdr>
        <w:spacing w:after="60" w:before="1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10512"/>
        </w:tabs>
        <w:spacing w:after="0" w:before="10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Chaudhary Charan Singh University — BCA (Computer Applications)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2022 –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right" w:leader="none" w:pos="10512"/>
        </w:tabs>
        <w:spacing w:after="20" w:before="0" w:lineRule="auto"/>
        <w:rPr/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First Division  •  Coursework: Data Structures &amp; Algorithms, DBMS, Operating Systems, Web Development, OOPGhaziabad, India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000000" w:space="1" w:sz="6" w:val="single"/>
        </w:pBdr>
        <w:spacing w:after="60" w:before="1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Algolia: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Algolia Certified Developer (ACD), Search Engineering Basics (ASEB) —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Anthropic: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Claude 101, Introduction to Model Context Protocol, Introduction to Agent Skills —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1" w:sz="6" w:val="single"/>
        </w:pBdr>
        <w:spacing w:after="60" w:before="19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TECHNICAL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Frontend: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React, Next.js, ShadCN, HTML/CSS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Backend: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Node.js, Express, FastAPI, Spring, gRPC, REST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Data &amp; Infra: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Postgres, Redis, Kafka, Docker, AWS, VP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Dokploy, GitHub Actions, CI/CD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AI/ML: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LLM APIs, RAG, vector DBs (pgvector), SLMs, LangChain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864" w:left="864" w:right="86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26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adhar02gupta@gmail.com" TargetMode="External"/><Relationship Id="rId7" Type="http://schemas.openxmlformats.org/officeDocument/2006/relationships/hyperlink" Target="https://linkedin.com/in/aadhar02gup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